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30D" w:rsidRPr="0062030D" w:rsidRDefault="008B4FE4" w:rsidP="0062030D">
      <w:pPr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RANGE!A2:C48"/>
      <w:r w:rsidRPr="00C35B55">
        <w:rPr>
          <w:rFonts w:ascii="Times New Roman" w:hAnsi="Times New Roman" w:cs="Times New Roman"/>
          <w:b/>
          <w:bCs/>
          <w:sz w:val="20"/>
          <w:szCs w:val="20"/>
        </w:rPr>
        <w:t>S.03.0</w:t>
      </w:r>
      <w:bookmarkEnd w:id="0"/>
      <w:r w:rsidRPr="00C35B55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7C4978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C35B55">
        <w:rPr>
          <w:rFonts w:ascii="Times New Roman" w:hAnsi="Times New Roman" w:cs="Times New Roman"/>
          <w:b/>
          <w:bCs/>
          <w:sz w:val="20"/>
          <w:szCs w:val="20"/>
        </w:rPr>
        <w:t xml:space="preserve"> - Off Balance-sheet items</w:t>
      </w:r>
      <w:r w:rsidR="00A501F6" w:rsidRPr="00C35B55">
        <w:rPr>
          <w:rFonts w:ascii="Times New Roman" w:hAnsi="Times New Roman" w:cs="Times New Roman"/>
          <w:b/>
          <w:bCs/>
          <w:sz w:val="20"/>
          <w:szCs w:val="20"/>
        </w:rPr>
        <w:t xml:space="preserve"> – list of unlimited guarantees received</w:t>
      </w:r>
      <w:r w:rsidR="0062030D" w:rsidRPr="00C35B5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2030D" w:rsidRPr="0062030D">
        <w:rPr>
          <w:rFonts w:ascii="Times New Roman" w:hAnsi="Times New Roman" w:cs="Times New Roman"/>
          <w:b/>
          <w:bCs/>
          <w:sz w:val="20"/>
          <w:szCs w:val="20"/>
        </w:rPr>
        <w:t>(old BS-C1B)</w:t>
      </w:r>
    </w:p>
    <w:p w:rsidR="00F5010C" w:rsidRPr="00C35B55" w:rsidRDefault="00F5010C" w:rsidP="00F5010C">
      <w:pPr>
        <w:rPr>
          <w:rFonts w:ascii="Times New Roman" w:hAnsi="Times New Roman" w:cs="Times New Roman"/>
          <w:bCs/>
          <w:sz w:val="20"/>
          <w:szCs w:val="20"/>
        </w:rPr>
      </w:pPr>
      <w:r w:rsidRPr="00C35B55">
        <w:rPr>
          <w:rFonts w:ascii="Times New Roman" w:hAnsi="Times New Roman" w:cs="Times New Roman"/>
          <w:bCs/>
          <w:sz w:val="20"/>
          <w:szCs w:val="20"/>
        </w:rPr>
        <w:t>General comment</w:t>
      </w:r>
      <w:r w:rsidR="007D0EE3" w:rsidRPr="00C35B55">
        <w:rPr>
          <w:rFonts w:ascii="Times New Roman" w:hAnsi="Times New Roman" w:cs="Times New Roman"/>
          <w:bCs/>
          <w:sz w:val="20"/>
          <w:szCs w:val="20"/>
        </w:rPr>
        <w:t>s</w:t>
      </w:r>
      <w:r w:rsidRPr="00C35B55">
        <w:rPr>
          <w:rFonts w:ascii="Times New Roman" w:hAnsi="Times New Roman" w:cs="Times New Roman"/>
          <w:bCs/>
          <w:sz w:val="20"/>
          <w:szCs w:val="20"/>
        </w:rPr>
        <w:t>:</w:t>
      </w:r>
    </w:p>
    <w:p w:rsidR="0062030D" w:rsidRDefault="0062030D">
      <w:pPr>
        <w:jc w:val="both"/>
        <w:rPr>
          <w:rFonts w:ascii="Times New Roman" w:hAnsi="Times New Roman" w:cs="Times New Roman"/>
          <w:sz w:val="20"/>
          <w:szCs w:val="20"/>
        </w:rPr>
      </w:pPr>
      <w:r w:rsidRPr="0062030D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C670EE" w:rsidRDefault="00C670EE" w:rsidP="00C670EE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This annex relates to annual submission of inform</w:t>
      </w:r>
      <w:bookmarkStart w:id="1" w:name="_GoBack"/>
      <w:bookmarkEnd w:id="1"/>
      <w:r>
        <w:rPr>
          <w:rFonts w:ascii="Times New Roman" w:hAnsi="Times New Roman" w:cs="Times New Roman"/>
          <w:sz w:val="20"/>
          <w:szCs w:val="20"/>
          <w:lang w:val="en-US"/>
        </w:rPr>
        <w:t>ation for individual entities.</w:t>
      </w:r>
    </w:p>
    <w:p w:rsidR="007D0EE3" w:rsidRPr="00C35B55" w:rsidRDefault="007D0EE3" w:rsidP="00C35B55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35B55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As regards the Solvency II value, the instructions define the items from a recognition perspective. Valuation principles are laid down in Directive 2009/138/EC, </w:t>
      </w:r>
      <w:r w:rsidR="00C35B55">
        <w:rPr>
          <w:rFonts w:ascii="Times New Roman" w:eastAsia="Times New Roman" w:hAnsi="Times New Roman" w:cs="Times New Roman"/>
          <w:sz w:val="20"/>
          <w:szCs w:val="20"/>
          <w:lang w:eastAsia="es-ES"/>
        </w:rPr>
        <w:t>Implementing measures</w:t>
      </w:r>
      <w:r w:rsidRPr="00C35B55">
        <w:rPr>
          <w:rFonts w:ascii="Times New Roman" w:hAnsi="Times New Roman" w:cs="Times New Roman"/>
          <w:bCs/>
          <w:sz w:val="20"/>
          <w:szCs w:val="20"/>
          <w:lang w:val="en-US"/>
        </w:rPr>
        <w:t>, Solvency II Technical Standards and Guidelines.</w:t>
      </w:r>
    </w:p>
    <w:p w:rsidR="00827DF7" w:rsidRPr="00C35B55" w:rsidRDefault="00827DF7" w:rsidP="00C35B55">
      <w:pPr>
        <w:snapToGrid w:val="0"/>
        <w:spacing w:after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5B55">
        <w:rPr>
          <w:rFonts w:ascii="Times New Roman" w:hAnsi="Times New Roman" w:cs="Times New Roman"/>
          <w:sz w:val="20"/>
          <w:szCs w:val="20"/>
        </w:rPr>
        <w:t xml:space="preserve">Unlimited guarantees refer to </w:t>
      </w:r>
      <w:r w:rsidR="00DE2035">
        <w:rPr>
          <w:rFonts w:ascii="Times New Roman" w:hAnsi="Times New Roman" w:cs="Times New Roman"/>
          <w:sz w:val="20"/>
          <w:szCs w:val="20"/>
        </w:rPr>
        <w:t xml:space="preserve">guarantees with </w:t>
      </w:r>
      <w:r w:rsidRPr="00C35B55">
        <w:rPr>
          <w:rFonts w:ascii="Times New Roman" w:hAnsi="Times New Roman" w:cs="Times New Roman"/>
          <w:sz w:val="20"/>
          <w:szCs w:val="20"/>
        </w:rPr>
        <w:t xml:space="preserve">unlimited amount and not </w:t>
      </w:r>
      <w:r w:rsidR="00DE2035">
        <w:rPr>
          <w:rFonts w:ascii="Times New Roman" w:hAnsi="Times New Roman" w:cs="Times New Roman"/>
          <w:sz w:val="20"/>
          <w:szCs w:val="20"/>
        </w:rPr>
        <w:t>with</w:t>
      </w:r>
      <w:r w:rsidRPr="00C35B55">
        <w:rPr>
          <w:rFonts w:ascii="Times New Roman" w:hAnsi="Times New Roman" w:cs="Times New Roman"/>
          <w:sz w:val="20"/>
          <w:szCs w:val="20"/>
        </w:rPr>
        <w:t xml:space="preserve"> unlimited date.</w:t>
      </w:r>
    </w:p>
    <w:p w:rsidR="00827DF7" w:rsidRPr="00C35B55" w:rsidRDefault="00827DF7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C35B55">
        <w:rPr>
          <w:rFonts w:ascii="Times New Roman" w:hAnsi="Times New Roman" w:cs="Times New Roman"/>
          <w:sz w:val="20"/>
          <w:szCs w:val="20"/>
          <w:lang w:val="en-US"/>
        </w:rPr>
        <w:t>The guarantees listed in this template are not reported in S.03.01.</w:t>
      </w:r>
      <w:r w:rsidR="00075666" w:rsidRPr="00C35B55">
        <w:rPr>
          <w:rFonts w:ascii="Times New Roman" w:hAnsi="Times New Roman" w:cs="Times New Roman"/>
          <w:sz w:val="20"/>
          <w:szCs w:val="20"/>
          <w:lang w:val="en-US"/>
        </w:rPr>
        <w:t>b</w:t>
      </w:r>
      <w:r w:rsidRPr="00C35B55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7"/>
        <w:gridCol w:w="2938"/>
        <w:gridCol w:w="5183"/>
      </w:tblGrid>
      <w:tr w:rsidR="008B4FE4" w:rsidRPr="0062030D" w:rsidTr="00BF3FD9">
        <w:trPr>
          <w:trHeight w:val="285"/>
        </w:trPr>
        <w:tc>
          <w:tcPr>
            <w:tcW w:w="1167" w:type="dxa"/>
            <w:noWrap/>
            <w:hideMark/>
          </w:tcPr>
          <w:p w:rsidR="008B4FE4" w:rsidRPr="00C35B55" w:rsidRDefault="008B4FE4" w:rsidP="00FE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8" w:type="dxa"/>
            <w:hideMark/>
          </w:tcPr>
          <w:p w:rsidR="008B4FE4" w:rsidRPr="00C35B55" w:rsidRDefault="008B4FE4" w:rsidP="00FE2C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5183" w:type="dxa"/>
            <w:hideMark/>
          </w:tcPr>
          <w:p w:rsidR="008B4FE4" w:rsidRPr="00C35B55" w:rsidRDefault="008B4FE4" w:rsidP="00FE2C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8B4FE4" w:rsidRPr="0062030D" w:rsidTr="00BF3FD9">
        <w:trPr>
          <w:trHeight w:val="570"/>
        </w:trPr>
        <w:tc>
          <w:tcPr>
            <w:tcW w:w="1167" w:type="dxa"/>
            <w:hideMark/>
          </w:tcPr>
          <w:p w:rsidR="0062030D" w:rsidRDefault="00AD27FF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010C" w:rsidRPr="00C35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B4FE4" w:rsidRPr="00C35B55" w:rsidRDefault="0062030D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B4FE4" w:rsidRPr="00C35B55">
              <w:rPr>
                <w:rFonts w:ascii="Times New Roman" w:hAnsi="Times New Roman" w:cs="Times New Roman"/>
                <w:sz w:val="20"/>
                <w:szCs w:val="20"/>
              </w:rPr>
              <w:t>A0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38" w:type="dxa"/>
            <w:hideMark/>
          </w:tcPr>
          <w:p w:rsidR="008B4FE4" w:rsidRPr="00C35B55" w:rsidRDefault="008B4FE4" w:rsidP="00FE2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Code of guarantee</w:t>
            </w:r>
          </w:p>
        </w:tc>
        <w:tc>
          <w:tcPr>
            <w:tcW w:w="5183" w:type="dxa"/>
            <w:hideMark/>
          </w:tcPr>
          <w:p w:rsidR="008B4FE4" w:rsidRPr="00C35B55" w:rsidRDefault="008B4F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Code of guarantee received</w:t>
            </w:r>
            <w:r w:rsidR="00A873A3" w:rsidRPr="00C35B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73A3" w:rsidRPr="00C35B55">
              <w:rPr>
                <w:rFonts w:ascii="Times New Roman" w:hAnsi="Times New Roman" w:cs="Times New Roman"/>
                <w:sz w:val="20"/>
                <w:szCs w:val="20"/>
              </w:rPr>
              <w:t>This number</w:t>
            </w:r>
            <w:r w:rsidR="00D772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873A3"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 attributed by the undertaking, must be unique and consistent over time. It </w:t>
            </w:r>
            <w:r w:rsidR="00E47B9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2147D1"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r w:rsidR="00A873A3"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 not be reused for other guarantees</w:t>
            </w:r>
            <w:r w:rsidR="00E47B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873A3"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4FE4" w:rsidRPr="0062030D" w:rsidTr="00BF3FD9">
        <w:trPr>
          <w:trHeight w:val="285"/>
        </w:trPr>
        <w:tc>
          <w:tcPr>
            <w:tcW w:w="1167" w:type="dxa"/>
            <w:hideMark/>
          </w:tcPr>
          <w:p w:rsidR="008B4FE4" w:rsidRDefault="00F5010C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2030D" w:rsidRPr="00C35B55" w:rsidRDefault="0062030D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(A3C)</w:t>
            </w:r>
          </w:p>
        </w:tc>
        <w:tc>
          <w:tcPr>
            <w:tcW w:w="2938" w:type="dxa"/>
            <w:hideMark/>
          </w:tcPr>
          <w:p w:rsidR="008B4FE4" w:rsidRPr="00C35B55" w:rsidRDefault="008B4FE4" w:rsidP="00FE2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Name of provider of guarantee</w:t>
            </w:r>
          </w:p>
        </w:tc>
        <w:tc>
          <w:tcPr>
            <w:tcW w:w="5183" w:type="dxa"/>
            <w:hideMark/>
          </w:tcPr>
          <w:p w:rsidR="008B4FE4" w:rsidRPr="00C35B55" w:rsidRDefault="008B4FE4" w:rsidP="00FE2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Identification of the name of the provider of the guarantee </w:t>
            </w:r>
          </w:p>
        </w:tc>
      </w:tr>
      <w:tr w:rsidR="00426E42" w:rsidRPr="0062030D" w:rsidTr="00C35B55">
        <w:trPr>
          <w:trHeight w:val="1244"/>
        </w:trPr>
        <w:tc>
          <w:tcPr>
            <w:tcW w:w="1167" w:type="dxa"/>
          </w:tcPr>
          <w:p w:rsidR="00426E42" w:rsidRPr="00C35B55" w:rsidDel="00F5010C" w:rsidRDefault="00426E42" w:rsidP="00E47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38" w:type="dxa"/>
          </w:tcPr>
          <w:p w:rsidR="00426E42" w:rsidRPr="00C35B55" w:rsidRDefault="00426E42" w:rsidP="00FE2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Code of provider of guarantee</w:t>
            </w:r>
          </w:p>
        </w:tc>
        <w:tc>
          <w:tcPr>
            <w:tcW w:w="5183" w:type="dxa"/>
          </w:tcPr>
          <w:p w:rsidR="00426E42" w:rsidRPr="00C35B55" w:rsidRDefault="00426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Identification code</w:t>
            </w:r>
            <w:r w:rsidR="00E47B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23ED">
              <w:rPr>
                <w:rFonts w:ascii="Times New Roman" w:hAnsi="Times New Roman" w:cs="Times New Roman"/>
                <w:sz w:val="20"/>
                <w:szCs w:val="20"/>
              </w:rPr>
              <w:t xml:space="preserve">of provider </w:t>
            </w:r>
            <w:r w:rsidR="0024212B">
              <w:rPr>
                <w:rFonts w:ascii="Times New Roman" w:hAnsi="Times New Roman" w:cs="Times New Roman"/>
                <w:sz w:val="20"/>
                <w:szCs w:val="20"/>
              </w:rPr>
              <w:t xml:space="preserve">using the 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Legal Entity Identifier (LEI) if available</w:t>
            </w:r>
            <w:r w:rsidR="002421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br/>
              <w:t>If no</w:t>
            </w:r>
            <w:r w:rsidR="0024212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 available this item </w:t>
            </w:r>
            <w:r w:rsidR="002147D1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 not be reported</w:t>
            </w:r>
            <w:r w:rsidR="001123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26E42" w:rsidRPr="0062030D" w:rsidTr="00BF3FD9">
        <w:trPr>
          <w:trHeight w:val="1425"/>
        </w:trPr>
        <w:tc>
          <w:tcPr>
            <w:tcW w:w="1167" w:type="dxa"/>
          </w:tcPr>
          <w:p w:rsidR="00426E42" w:rsidRPr="00C35B55" w:rsidDel="00F5010C" w:rsidRDefault="00426E42" w:rsidP="00AD27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38" w:type="dxa"/>
          </w:tcPr>
          <w:p w:rsidR="00426E42" w:rsidRPr="00C35B55" w:rsidRDefault="00426E42" w:rsidP="00426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Type of code of provider of guarantee</w:t>
            </w:r>
          </w:p>
        </w:tc>
        <w:tc>
          <w:tcPr>
            <w:tcW w:w="5183" w:type="dxa"/>
          </w:tcPr>
          <w:p w:rsidR="00426E42" w:rsidRPr="00C35B55" w:rsidRDefault="00426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Identification of the code used for the “</w:t>
            </w:r>
            <w:r w:rsidR="007D0EE3" w:rsidRPr="00C35B55">
              <w:rPr>
                <w:rFonts w:ascii="Times New Roman" w:hAnsi="Times New Roman" w:cs="Times New Roman"/>
                <w:sz w:val="20"/>
                <w:szCs w:val="20"/>
              </w:rPr>
              <w:t>Code of provider of guarantee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” item. One of the options in the following closed list shall be used: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23ED"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- LEI 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23ED"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24212B"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</w:tr>
      <w:tr w:rsidR="00426E42" w:rsidRPr="0062030D" w:rsidTr="00BF3FD9">
        <w:trPr>
          <w:trHeight w:val="1425"/>
        </w:trPr>
        <w:tc>
          <w:tcPr>
            <w:tcW w:w="1167" w:type="dxa"/>
            <w:hideMark/>
          </w:tcPr>
          <w:p w:rsidR="00426E42" w:rsidRDefault="00426E42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2030D" w:rsidRPr="00C35B55" w:rsidRDefault="0062030D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(E3C)</w:t>
            </w:r>
          </w:p>
        </w:tc>
        <w:tc>
          <w:tcPr>
            <w:tcW w:w="2938" w:type="dxa"/>
            <w:hideMark/>
          </w:tcPr>
          <w:p w:rsidR="00426E42" w:rsidRPr="00C35B55" w:rsidRDefault="00426E42" w:rsidP="00FE2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Provider of guarantee belonging to the same group</w:t>
            </w:r>
          </w:p>
        </w:tc>
        <w:tc>
          <w:tcPr>
            <w:tcW w:w="5183" w:type="dxa"/>
            <w:hideMark/>
          </w:tcPr>
          <w:p w:rsidR="00426E42" w:rsidRPr="00C35B55" w:rsidRDefault="00426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Indication if provider of the guarantee belongs to the same group as the undertaking.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br/>
              <w:t>One of the options in the following closed list shall be used: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23ED" w:rsidRPr="00C35B55">
              <w:rPr>
                <w:rFonts w:ascii="Times New Roman" w:hAnsi="Times New Roman" w:cs="Times New Roman"/>
                <w:sz w:val="20"/>
                <w:szCs w:val="20"/>
              </w:rPr>
              <w:t>1 –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23ED" w:rsidRPr="00C35B55">
              <w:rPr>
                <w:rFonts w:ascii="Times New Roman" w:hAnsi="Times New Roman" w:cs="Times New Roman"/>
                <w:sz w:val="20"/>
                <w:szCs w:val="20"/>
              </w:rPr>
              <w:t>Belonging to the same group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23ED" w:rsidRPr="00C35B55">
              <w:rPr>
                <w:rFonts w:ascii="Times New Roman" w:hAnsi="Times New Roman" w:cs="Times New Roman"/>
                <w:sz w:val="20"/>
                <w:szCs w:val="20"/>
              </w:rPr>
              <w:t>2 –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23ED" w:rsidRPr="00C35B55">
              <w:rPr>
                <w:rFonts w:ascii="Times New Roman" w:hAnsi="Times New Roman" w:cs="Times New Roman"/>
                <w:sz w:val="20"/>
                <w:szCs w:val="20"/>
              </w:rPr>
              <w:t>Not belonging to the same group</w:t>
            </w:r>
          </w:p>
        </w:tc>
      </w:tr>
      <w:tr w:rsidR="00426E42" w:rsidRPr="0062030D" w:rsidTr="00BF3FD9">
        <w:trPr>
          <w:trHeight w:val="3420"/>
        </w:trPr>
        <w:tc>
          <w:tcPr>
            <w:tcW w:w="1167" w:type="dxa"/>
            <w:hideMark/>
          </w:tcPr>
          <w:p w:rsidR="00426E42" w:rsidRDefault="00426E42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2030D" w:rsidRPr="00C35B55" w:rsidRDefault="0062030D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(B3C)</w:t>
            </w:r>
          </w:p>
        </w:tc>
        <w:tc>
          <w:tcPr>
            <w:tcW w:w="2938" w:type="dxa"/>
            <w:hideMark/>
          </w:tcPr>
          <w:p w:rsidR="00426E42" w:rsidRPr="00C35B55" w:rsidRDefault="00426E42" w:rsidP="00FE2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Triggering event(s) of guarantee</w:t>
            </w:r>
          </w:p>
        </w:tc>
        <w:tc>
          <w:tcPr>
            <w:tcW w:w="5183" w:type="dxa"/>
            <w:hideMark/>
          </w:tcPr>
          <w:p w:rsidR="00426E42" w:rsidRPr="00C35B55" w:rsidRDefault="00E942D5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Identify the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triggering event. One of the options in the following closed list shall be used: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Bankruptcy filing ISDA credit event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Downgrading by a rating agency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Fall of SCR below a threshold but higher than 100 %</w:t>
            </w:r>
          </w:p>
          <w:p w:rsidR="00426E42" w:rsidRPr="00C35B55" w:rsidRDefault="00E942D5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Fall of MCR below a threshold but higher than 100 %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Breach of SCR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Breach of MCR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Non-payment of a contractual obligation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Fraud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Breach of contractual obligation linked with the disposal of assets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Breach of contractual obligation linked with the acquisition of assets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D6067" w:rsidRPr="00037BA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Other</w:t>
            </w:r>
          </w:p>
        </w:tc>
      </w:tr>
      <w:tr w:rsidR="00426E42" w:rsidRPr="0062030D" w:rsidTr="00BF3FD9">
        <w:trPr>
          <w:trHeight w:val="285"/>
        </w:trPr>
        <w:tc>
          <w:tcPr>
            <w:tcW w:w="1167" w:type="dxa"/>
            <w:hideMark/>
          </w:tcPr>
          <w:p w:rsidR="00426E42" w:rsidRPr="00C35B55" w:rsidRDefault="00426E42" w:rsidP="00E47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38" w:type="dxa"/>
            <w:hideMark/>
          </w:tcPr>
          <w:p w:rsidR="00426E42" w:rsidRPr="00C35B55" w:rsidRDefault="00426E42" w:rsidP="00FE2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Specific triggering event (s) of guarantee</w:t>
            </w:r>
          </w:p>
        </w:tc>
        <w:tc>
          <w:tcPr>
            <w:tcW w:w="5183" w:type="dxa"/>
            <w:hideMark/>
          </w:tcPr>
          <w:p w:rsidR="00426E42" w:rsidRPr="00C35B55" w:rsidRDefault="00426E42" w:rsidP="00E47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Description of the triggering event in case undertakings selected “</w:t>
            </w:r>
            <w:r w:rsidR="000D6067">
              <w:rPr>
                <w:rFonts w:ascii="Times New Roman" w:hAnsi="Times New Roman" w:cs="Times New Roman"/>
                <w:sz w:val="20"/>
                <w:szCs w:val="20"/>
              </w:rPr>
              <w:t xml:space="preserve">0 - 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Other” for item C00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0 “Triggering event(s) of guarantee”</w:t>
            </w:r>
            <w:r w:rsidR="000D60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26E42" w:rsidRPr="0062030D" w:rsidTr="00BF3FD9">
        <w:trPr>
          <w:trHeight w:val="285"/>
        </w:trPr>
        <w:tc>
          <w:tcPr>
            <w:tcW w:w="1167" w:type="dxa"/>
            <w:hideMark/>
          </w:tcPr>
          <w:p w:rsidR="00426E42" w:rsidRDefault="00AD27FF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2030D" w:rsidRPr="00C35B55" w:rsidRDefault="0062030D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(C3C)</w:t>
            </w:r>
          </w:p>
        </w:tc>
        <w:tc>
          <w:tcPr>
            <w:tcW w:w="2938" w:type="dxa"/>
            <w:hideMark/>
          </w:tcPr>
          <w:p w:rsidR="00426E42" w:rsidRPr="00C35B55" w:rsidRDefault="00426E42" w:rsidP="00FE2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Effective date of guarantee</w:t>
            </w:r>
          </w:p>
        </w:tc>
        <w:tc>
          <w:tcPr>
            <w:tcW w:w="5183" w:type="dxa"/>
            <w:hideMark/>
          </w:tcPr>
          <w:p w:rsidR="00426E42" w:rsidRPr="00C35B55" w:rsidRDefault="00426E42" w:rsidP="00A73D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) code of the starting date of the coverage of the contract</w:t>
            </w:r>
            <w:r w:rsidR="000D60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26E42" w:rsidRPr="0062030D" w:rsidTr="00BF3FD9">
        <w:trPr>
          <w:trHeight w:val="1710"/>
        </w:trPr>
        <w:tc>
          <w:tcPr>
            <w:tcW w:w="1167" w:type="dxa"/>
            <w:hideMark/>
          </w:tcPr>
          <w:p w:rsidR="00426E42" w:rsidRDefault="00426E42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2030D" w:rsidRPr="00C35B55" w:rsidRDefault="0062030D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(D3C)</w:t>
            </w:r>
          </w:p>
        </w:tc>
        <w:tc>
          <w:tcPr>
            <w:tcW w:w="2938" w:type="dxa"/>
            <w:hideMark/>
          </w:tcPr>
          <w:p w:rsidR="00426E42" w:rsidRPr="00C35B55" w:rsidRDefault="00426E42" w:rsidP="00FE2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Ancillary Own Funds</w:t>
            </w:r>
          </w:p>
        </w:tc>
        <w:tc>
          <w:tcPr>
            <w:tcW w:w="5183" w:type="dxa"/>
            <w:hideMark/>
          </w:tcPr>
          <w:p w:rsidR="00426E42" w:rsidRPr="00C35B55" w:rsidRDefault="00426E42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Indication if the guarantee is classified as Ancillary Own Fund and is presented in the following items of S.23.01.b: </w:t>
            </w:r>
          </w:p>
          <w:p w:rsidR="00426E42" w:rsidRPr="00C35B55" w:rsidRDefault="00426E42" w:rsidP="00C35B55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Letters of credit and guarantees under Article 96(2) of the Directive </w:t>
            </w:r>
            <w:r w:rsidR="00774531">
              <w:rPr>
                <w:rFonts w:ascii="Times New Roman" w:hAnsi="Times New Roman" w:cs="Times New Roman"/>
                <w:sz w:val="20"/>
                <w:szCs w:val="20"/>
              </w:rPr>
              <w:t xml:space="preserve">2009/138/EC 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C4978" w:rsidRPr="00C35B55">
              <w:rPr>
                <w:rFonts w:ascii="Times New Roman" w:hAnsi="Times New Roman" w:cs="Times New Roman"/>
                <w:sz w:val="20"/>
                <w:szCs w:val="20"/>
              </w:rPr>
              <w:t>C0010/R0340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26E42" w:rsidRPr="00C35B55" w:rsidRDefault="00426E42" w:rsidP="00C35B55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Letters of credit and guarantees other than under Article 96(2) of the Directive </w:t>
            </w:r>
            <w:r w:rsidR="00774531">
              <w:rPr>
                <w:rFonts w:ascii="Times New Roman" w:hAnsi="Times New Roman" w:cs="Times New Roman"/>
                <w:sz w:val="20"/>
                <w:szCs w:val="20"/>
              </w:rPr>
              <w:t xml:space="preserve">2009/138/EC 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C4978" w:rsidRPr="00C35B55">
              <w:rPr>
                <w:rFonts w:ascii="Times New Roman" w:hAnsi="Times New Roman" w:cs="Times New Roman"/>
                <w:sz w:val="20"/>
                <w:szCs w:val="20"/>
              </w:rPr>
              <w:t>C0010/R0350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26E42" w:rsidRPr="00C35B55" w:rsidRDefault="00426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C497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D6067" w:rsidRPr="00C35B55">
              <w:rPr>
                <w:rFonts w:ascii="Times New Roman" w:hAnsi="Times New Roman" w:cs="Times New Roman"/>
                <w:sz w:val="20"/>
                <w:szCs w:val="20"/>
              </w:rPr>
              <w:t>Ancillary own fund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C4978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D6067" w:rsidRPr="00C35B55">
              <w:rPr>
                <w:rFonts w:ascii="Times New Roman" w:hAnsi="Times New Roman" w:cs="Times New Roman"/>
                <w:sz w:val="20"/>
                <w:szCs w:val="20"/>
              </w:rPr>
              <w:t>Not an ancillary own fund</w:t>
            </w:r>
          </w:p>
        </w:tc>
      </w:tr>
    </w:tbl>
    <w:p w:rsidR="008B4FE4" w:rsidRPr="00C35B55" w:rsidRDefault="008B4FE4" w:rsidP="00C544BA">
      <w:pPr>
        <w:rPr>
          <w:rFonts w:ascii="Times New Roman" w:hAnsi="Times New Roman" w:cs="Times New Roman"/>
          <w:sz w:val="20"/>
          <w:szCs w:val="20"/>
        </w:rPr>
      </w:pPr>
    </w:p>
    <w:sectPr w:rsidR="008B4FE4" w:rsidRPr="00C35B55" w:rsidSect="0061247F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14184"/>
    <w:multiLevelType w:val="hybridMultilevel"/>
    <w:tmpl w:val="3AA8C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2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>
    <w:nsid w:val="68D329E9"/>
    <w:multiLevelType w:val="multilevel"/>
    <w:tmpl w:val="CF3CDE36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748F5CF8"/>
    <w:multiLevelType w:val="hybridMultilevel"/>
    <w:tmpl w:val="579EA548"/>
    <w:lvl w:ilvl="0" w:tplc="95E267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1"/>
  </w:num>
  <w:num w:numId="7">
    <w:abstractNumId w:val="3"/>
  </w:num>
  <w:num w:numId="8">
    <w:abstractNumId w:val="2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E4"/>
    <w:rsid w:val="000277A1"/>
    <w:rsid w:val="00037BA4"/>
    <w:rsid w:val="00075666"/>
    <w:rsid w:val="000928F4"/>
    <w:rsid w:val="000B0226"/>
    <w:rsid w:val="000B5753"/>
    <w:rsid w:val="000C3928"/>
    <w:rsid w:val="000D6067"/>
    <w:rsid w:val="000D63A0"/>
    <w:rsid w:val="001067B3"/>
    <w:rsid w:val="001123ED"/>
    <w:rsid w:val="00172BC2"/>
    <w:rsid w:val="001816BE"/>
    <w:rsid w:val="00184FF6"/>
    <w:rsid w:val="001F2BD9"/>
    <w:rsid w:val="002147D1"/>
    <w:rsid w:val="00227836"/>
    <w:rsid w:val="00233377"/>
    <w:rsid w:val="0024212B"/>
    <w:rsid w:val="00295647"/>
    <w:rsid w:val="00363D27"/>
    <w:rsid w:val="003A02AA"/>
    <w:rsid w:val="004022DB"/>
    <w:rsid w:val="00426E42"/>
    <w:rsid w:val="0045796C"/>
    <w:rsid w:val="0047041B"/>
    <w:rsid w:val="004F14B5"/>
    <w:rsid w:val="00521ABE"/>
    <w:rsid w:val="00540109"/>
    <w:rsid w:val="005E345E"/>
    <w:rsid w:val="0061247F"/>
    <w:rsid w:val="00617D80"/>
    <w:rsid w:val="0062030D"/>
    <w:rsid w:val="006F0C30"/>
    <w:rsid w:val="0070337C"/>
    <w:rsid w:val="00774531"/>
    <w:rsid w:val="007758DA"/>
    <w:rsid w:val="007A15AF"/>
    <w:rsid w:val="007C4978"/>
    <w:rsid w:val="007D0EE3"/>
    <w:rsid w:val="00827DF7"/>
    <w:rsid w:val="00830819"/>
    <w:rsid w:val="00864A93"/>
    <w:rsid w:val="008B4162"/>
    <w:rsid w:val="008B4FE4"/>
    <w:rsid w:val="008E02EB"/>
    <w:rsid w:val="00975C85"/>
    <w:rsid w:val="009A6A5C"/>
    <w:rsid w:val="00A501F6"/>
    <w:rsid w:val="00A73D0E"/>
    <w:rsid w:val="00A873A3"/>
    <w:rsid w:val="00AD27FF"/>
    <w:rsid w:val="00AD7038"/>
    <w:rsid w:val="00B132D5"/>
    <w:rsid w:val="00B45155"/>
    <w:rsid w:val="00B85E81"/>
    <w:rsid w:val="00BC232F"/>
    <w:rsid w:val="00BE029A"/>
    <w:rsid w:val="00BE5404"/>
    <w:rsid w:val="00BF19BE"/>
    <w:rsid w:val="00BF3FD9"/>
    <w:rsid w:val="00C35B55"/>
    <w:rsid w:val="00C52A82"/>
    <w:rsid w:val="00C544BA"/>
    <w:rsid w:val="00C613EB"/>
    <w:rsid w:val="00C6483E"/>
    <w:rsid w:val="00C670EE"/>
    <w:rsid w:val="00C83D6F"/>
    <w:rsid w:val="00D0080A"/>
    <w:rsid w:val="00D772BA"/>
    <w:rsid w:val="00D95BEF"/>
    <w:rsid w:val="00DC6130"/>
    <w:rsid w:val="00DE2035"/>
    <w:rsid w:val="00DE287E"/>
    <w:rsid w:val="00DF0ACF"/>
    <w:rsid w:val="00DF3ABA"/>
    <w:rsid w:val="00DF638F"/>
    <w:rsid w:val="00E120A2"/>
    <w:rsid w:val="00E4757F"/>
    <w:rsid w:val="00E47B9E"/>
    <w:rsid w:val="00E633C0"/>
    <w:rsid w:val="00E942D5"/>
    <w:rsid w:val="00EB17A0"/>
    <w:rsid w:val="00F06B7F"/>
    <w:rsid w:val="00F2361C"/>
    <w:rsid w:val="00F25AE3"/>
    <w:rsid w:val="00F5010C"/>
    <w:rsid w:val="00F92B94"/>
    <w:rsid w:val="00FB614B"/>
    <w:rsid w:val="00F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4FE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val="fr-FR" w:eastAsia="fr-FR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FootnoteText">
    <w:name w:val="footnote text"/>
    <w:basedOn w:val="Normal"/>
    <w:semiHidden/>
    <w:rsid w:val="0061247F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Footer">
    <w:name w:val="footer"/>
    <w:basedOn w:val="Normal"/>
    <w:rsid w:val="0061247F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OC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val="fr-FR" w:eastAsia="fr-FR"/>
    </w:rPr>
  </w:style>
  <w:style w:type="paragraph" w:styleId="TOC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val="fr-FR" w:eastAsia="fr-FR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aption">
    <w:name w:val="caption"/>
    <w:basedOn w:val="Normal"/>
    <w:next w:val="Normal"/>
    <w:qFormat/>
    <w:rsid w:val="0061247F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8B4FE4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8B4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4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4FE4"/>
    <w:rPr>
      <w:rFonts w:asciiTheme="minorHAnsi" w:eastAsiaTheme="minorHAnsi" w:hAnsiTheme="minorHAnsi" w:cstheme="minorBidi"/>
      <w:lang w:val="en-GB" w:eastAsia="en-US"/>
    </w:rPr>
  </w:style>
  <w:style w:type="paragraph" w:styleId="BalloonText">
    <w:name w:val="Balloon Text"/>
    <w:basedOn w:val="Normal"/>
    <w:link w:val="BalloonTextChar"/>
    <w:rsid w:val="008B4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4FE4"/>
    <w:rPr>
      <w:rFonts w:ascii="Tahoma" w:eastAsiaTheme="minorHAnsi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7C49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4FE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val="fr-FR" w:eastAsia="fr-FR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FootnoteText">
    <w:name w:val="footnote text"/>
    <w:basedOn w:val="Normal"/>
    <w:semiHidden/>
    <w:rsid w:val="0061247F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Footer">
    <w:name w:val="footer"/>
    <w:basedOn w:val="Normal"/>
    <w:rsid w:val="0061247F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OC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val="fr-FR" w:eastAsia="fr-FR"/>
    </w:rPr>
  </w:style>
  <w:style w:type="paragraph" w:styleId="TOC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val="fr-FR" w:eastAsia="fr-FR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aption">
    <w:name w:val="caption"/>
    <w:basedOn w:val="Normal"/>
    <w:next w:val="Normal"/>
    <w:qFormat/>
    <w:rsid w:val="0061247F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8B4FE4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8B4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4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4FE4"/>
    <w:rPr>
      <w:rFonts w:asciiTheme="minorHAnsi" w:eastAsiaTheme="minorHAnsi" w:hAnsiTheme="minorHAnsi" w:cstheme="minorBidi"/>
      <w:lang w:val="en-GB" w:eastAsia="en-US"/>
    </w:rPr>
  </w:style>
  <w:style w:type="paragraph" w:styleId="BalloonText">
    <w:name w:val="Balloon Text"/>
    <w:basedOn w:val="Normal"/>
    <w:link w:val="BalloonTextChar"/>
    <w:rsid w:val="008B4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4FE4"/>
    <w:rPr>
      <w:rFonts w:ascii="Tahoma" w:eastAsiaTheme="minorHAnsi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7C49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2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CB473-9CA5-4462-8DF1-536785800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523</Words>
  <Characters>2650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Banque de France</Company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 Parmentier</dc:creator>
  <cp:lastModifiedBy>Ivana Sivric</cp:lastModifiedBy>
  <cp:revision>4</cp:revision>
  <cp:lastPrinted>1999-05-27T14:48:00Z</cp:lastPrinted>
  <dcterms:created xsi:type="dcterms:W3CDTF">2014-11-07T16:12:00Z</dcterms:created>
  <dcterms:modified xsi:type="dcterms:W3CDTF">2014-11-17T11:10:00Z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-1445003009</vt:i4>
  </property>
  <property fmtid="{D5CDD505-2E9C-101B-9397-08002B2CF9AE}" pid="3" name="_NewReviewCycle">
    <vt:lpwstr/>
  </property>
  <property fmtid="{D5CDD505-2E9C-101B-9397-08002B2CF9AE}" pid="4" name="_EmailSubject">
    <vt:lpwstr>to check</vt:lpwstr>
  </property>
  <property fmtid="{D5CDD505-2E9C-101B-9397-08002B2CF9AE}" pid="5" name="_AuthorEmail">
    <vt:lpwstr>Mihai.Cracea@ext.eiopa.europa.eu</vt:lpwstr>
  </property>
  <property fmtid="{D5CDD505-2E9C-101B-9397-08002B2CF9AE}" pid="6" name="_AuthorEmailDisplayName">
    <vt:lpwstr>Mihai Cracea (EXT)</vt:lpwstr>
  </property>
  <property fmtid="{D5CDD505-2E9C-101B-9397-08002B2CF9AE}" pid="7" name="_PreviousAdHocReviewCycleID">
    <vt:i4>1891905911</vt:i4>
  </property>
  <property fmtid="{D5CDD505-2E9C-101B-9397-08002B2CF9AE}" pid="8" name="_ReviewingToolsShownOnce">
    <vt:lpwstr/>
  </property>
</Properties>
</file>